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187" w:rsidRPr="002A0AF9" w:rsidRDefault="00D94187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t>VICEPRESIDENCIA DE LA REPÚBLICA</w:t>
      </w:r>
    </w:p>
    <w:p w:rsidR="00D94187" w:rsidRPr="002A0AF9" w:rsidRDefault="00D94187" w:rsidP="00AC597D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6a. Avenida 4-19 Zona 1, Primera Puerta Norte de Casa Presidencial</w:t>
      </w:r>
    </w:p>
    <w:p w:rsidR="00D94187" w:rsidRPr="002A0AF9" w:rsidRDefault="00D94187" w:rsidP="00AC597D">
      <w:pPr>
        <w:jc w:val="center"/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</w:pPr>
      <w:r w:rsidRPr="002A0AF9">
        <w:rPr>
          <w:rFonts w:ascii="Montserrat" w:eastAsia="Times New Roman" w:hAnsi="Montserrat" w:cs="Arial"/>
          <w:color w:val="1F3864" w:themeColor="accent1" w:themeShade="80"/>
          <w:sz w:val="20"/>
          <w:lang w:val="es-GT" w:eastAsia="es-ES_tradnl"/>
        </w:rPr>
        <w:t>Guatemala, Centro América PBX: (502) 2321-2121</w:t>
      </w:r>
    </w:p>
    <w:p w:rsidR="00D94187" w:rsidRDefault="00AC597D" w:rsidP="00AC597D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noProof/>
          <w:color w:val="1F3864" w:themeColor="accent1" w:themeShade="80"/>
          <w:sz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208915</wp:posOffset>
                </wp:positionV>
                <wp:extent cx="7665720" cy="0"/>
                <wp:effectExtent l="0" t="0" r="3048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65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C1323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16.45pt" to="520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" strokecolor="#2f5496 [2404]" strokeweight=".5pt">
                <v:stroke joinstyle="miter"/>
              </v:line>
            </w:pict>
          </mc:Fallback>
        </mc:AlternateContent>
      </w:r>
      <w:r w:rsidR="00506FDC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Actualizado </w:t>
      </w:r>
      <w:r w:rsidR="00DB408D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al mes </w:t>
      </w:r>
      <w:r w:rsidR="00661A3A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Enero</w:t>
      </w:r>
      <w:r w:rsidR="00B02380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DB408D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de</w:t>
      </w:r>
      <w:r w:rsidR="001A2EBB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 xml:space="preserve"> </w:t>
      </w:r>
      <w:r w:rsidR="0041237A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202</w:t>
      </w:r>
      <w:r w:rsidR="001D4B1E"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  <w:t>3</w:t>
      </w:r>
    </w:p>
    <w:p w:rsidR="00506FDC" w:rsidRPr="002A0AF9" w:rsidRDefault="00506FDC" w:rsidP="00AC597D">
      <w:pPr>
        <w:jc w:val="center"/>
        <w:rPr>
          <w:rFonts w:ascii="Montserrat" w:eastAsia="Times New Roman" w:hAnsi="Montserrat" w:cs="Arial"/>
          <w:color w:val="1F3864" w:themeColor="accent1" w:themeShade="80"/>
          <w:lang w:val="es-GT" w:eastAsia="es-ES_tradnl"/>
        </w:rPr>
      </w:pPr>
    </w:p>
    <w:p w:rsidR="00D94187" w:rsidRDefault="00D94187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243989" w:rsidRDefault="00243989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243989" w:rsidRPr="002A0AF9" w:rsidRDefault="00243989" w:rsidP="00D94187">
      <w:pPr>
        <w:rPr>
          <w:rFonts w:ascii="Montserrat" w:eastAsia="Times New Roman" w:hAnsi="Montserrat" w:cs="Arial"/>
          <w:lang w:val="es-GT" w:eastAsia="es-ES_tradnl"/>
        </w:rPr>
      </w:pPr>
    </w:p>
    <w:p w:rsidR="00D85672" w:rsidRPr="00531853" w:rsidRDefault="00D85672" w:rsidP="00D85672">
      <w:pPr>
        <w:ind w:left="284" w:right="113"/>
        <w:jc w:val="both"/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</w:pP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Dependencia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>s</w:t>
      </w:r>
      <w:r w:rsidRPr="004E211E"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 de la Vicepresidencia de la Repúblic</w:t>
      </w:r>
      <w:r>
        <w:rPr>
          <w:rFonts w:ascii="Montserrat" w:eastAsia="Times New Roman" w:hAnsi="Montserrat" w:cs="Arial"/>
          <w:b/>
          <w:color w:val="1F3864" w:themeColor="accent1" w:themeShade="80"/>
          <w:sz w:val="28"/>
          <w:szCs w:val="28"/>
          <w:lang w:val="es-GT" w:eastAsia="es-ES_tradnl"/>
        </w:rPr>
        <w:t xml:space="preserve">a                        </w:t>
      </w:r>
      <w:r w:rsidRPr="00531853">
        <w:rPr>
          <w:rFonts w:ascii="Montserrat" w:hAnsi="Montserrat"/>
          <w:b/>
          <w:color w:val="1F3864" w:themeColor="accent1" w:themeShade="80"/>
        </w:rPr>
        <w:t xml:space="preserve">Dirección: 6ª. Avenida  </w:t>
      </w:r>
      <w:r w:rsidR="00F56CCF">
        <w:rPr>
          <w:rFonts w:ascii="Montserrat" w:hAnsi="Montserrat"/>
          <w:b/>
          <w:color w:val="1F3864" w:themeColor="accent1" w:themeShade="80"/>
        </w:rPr>
        <w:t xml:space="preserve">4-19 </w:t>
      </w:r>
      <w:r w:rsidRPr="00531853">
        <w:rPr>
          <w:rFonts w:ascii="Montserrat" w:hAnsi="Montserrat"/>
          <w:b/>
          <w:color w:val="1F3864" w:themeColor="accent1" w:themeShade="80"/>
        </w:rPr>
        <w:t>Zona 1 Casa Presidencial</w:t>
      </w:r>
    </w:p>
    <w:p w:rsidR="00D85672" w:rsidRDefault="00D85672" w:rsidP="00D85672">
      <w:p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 xml:space="preserve">    </w:t>
      </w:r>
      <w:r w:rsidRPr="00531853">
        <w:rPr>
          <w:rFonts w:ascii="Montserrat" w:hAnsi="Montserrat"/>
          <w:b/>
          <w:color w:val="1F3864" w:themeColor="accent1" w:themeShade="80"/>
        </w:rPr>
        <w:t>Tel</w:t>
      </w:r>
      <w:r>
        <w:rPr>
          <w:rFonts w:ascii="Montserrat" w:hAnsi="Montserrat"/>
          <w:b/>
          <w:color w:val="1F3864" w:themeColor="accent1" w:themeShade="80"/>
        </w:rPr>
        <w:t>éfono</w:t>
      </w:r>
      <w:r w:rsidRPr="00531853">
        <w:rPr>
          <w:rFonts w:ascii="Montserrat" w:hAnsi="Montserrat"/>
          <w:b/>
          <w:color w:val="1F3864" w:themeColor="accent1" w:themeShade="80"/>
        </w:rPr>
        <w:t>: (502) 23212121</w:t>
      </w:r>
    </w:p>
    <w:p w:rsidR="00D85672" w:rsidRPr="00531853" w:rsidRDefault="00D85672" w:rsidP="00D85672">
      <w:pPr>
        <w:rPr>
          <w:rFonts w:ascii="Montserrat" w:hAnsi="Montserrat"/>
          <w:b/>
          <w:color w:val="1F3864" w:themeColor="accent1" w:themeShade="80"/>
        </w:rPr>
      </w:pP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General – ext. 1078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Privada – ext. 1029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Secretaría Particular – ext. 1062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de Auditoría Interna de la Vicepresidencia de la República</w:t>
      </w: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 – ext. 1095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Recursos Humanos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1017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Financiera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– ext. 1028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Informática de la Vicepresidencia de la República</w:t>
      </w:r>
      <w:r>
        <w:rPr>
          <w:rFonts w:ascii="Montserrat" w:hAnsi="Montserrat"/>
          <w:b/>
          <w:color w:val="1F3864" w:themeColor="accent1" w:themeShade="80"/>
        </w:rPr>
        <w:t xml:space="preserve"> </w:t>
      </w:r>
      <w:r w:rsidR="00243989">
        <w:rPr>
          <w:rFonts w:ascii="Montserrat" w:hAnsi="Montserrat"/>
          <w:b/>
          <w:color w:val="1F3864" w:themeColor="accent1" w:themeShade="80"/>
        </w:rPr>
        <w:t>–</w:t>
      </w:r>
      <w:r>
        <w:rPr>
          <w:rFonts w:ascii="Montserrat" w:hAnsi="Montserrat"/>
          <w:b/>
          <w:color w:val="1F3864" w:themeColor="accent1" w:themeShade="80"/>
        </w:rPr>
        <w:t xml:space="preserve"> </w:t>
      </w:r>
      <w:r w:rsidR="00243989">
        <w:rPr>
          <w:rFonts w:ascii="Montserrat" w:hAnsi="Montserrat"/>
          <w:b/>
          <w:color w:val="1F3864" w:themeColor="accent1" w:themeShade="80"/>
        </w:rPr>
        <w:t>ext. 1040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Comunicación Social de la Vicepresidencia de la República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1010</w:t>
      </w:r>
    </w:p>
    <w:p w:rsidR="00D85672" w:rsidRPr="00531853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 w:rsidRPr="00531853">
        <w:rPr>
          <w:rFonts w:ascii="Montserrat" w:hAnsi="Montserrat"/>
          <w:b/>
          <w:color w:val="1F3864" w:themeColor="accent1" w:themeShade="80"/>
        </w:rPr>
        <w:t>Dirección de Protocolo de la Vicepresidencia de la República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1049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Servicios Generales y Transporte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1011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Información Pública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1000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Compras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1082</w:t>
      </w:r>
    </w:p>
    <w:p w:rsidR="00D85672" w:rsidRDefault="00D85672" w:rsidP="00D85672">
      <w:pPr>
        <w:pStyle w:val="Prrafodelista"/>
        <w:numPr>
          <w:ilvl w:val="0"/>
          <w:numId w:val="3"/>
        </w:numPr>
        <w:rPr>
          <w:rFonts w:ascii="Montserrat" w:hAnsi="Montserrat"/>
          <w:b/>
          <w:color w:val="1F3864" w:themeColor="accent1" w:themeShade="80"/>
        </w:rPr>
      </w:pPr>
      <w:r>
        <w:rPr>
          <w:rFonts w:ascii="Montserrat" w:hAnsi="Montserrat"/>
          <w:b/>
          <w:color w:val="1F3864" w:themeColor="accent1" w:themeShade="80"/>
        </w:rPr>
        <w:t>Unidad de Almacén</w:t>
      </w:r>
      <w:r w:rsidR="00243989">
        <w:rPr>
          <w:rFonts w:ascii="Montserrat" w:hAnsi="Montserrat"/>
          <w:b/>
          <w:color w:val="1F3864" w:themeColor="accent1" w:themeShade="80"/>
        </w:rPr>
        <w:t xml:space="preserve"> – ext. 1031</w:t>
      </w: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243989" w:rsidRPr="00243989" w:rsidRDefault="00243989" w:rsidP="00243989">
      <w:pPr>
        <w:rPr>
          <w:rFonts w:ascii="Montserrat" w:hAnsi="Montserrat"/>
          <w:b/>
          <w:color w:val="1F3864" w:themeColor="accent1" w:themeShade="80"/>
        </w:rPr>
      </w:pPr>
    </w:p>
    <w:p w:rsidR="00D85672" w:rsidRDefault="00D85672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</w:p>
    <w:p w:rsidR="00AC597D" w:rsidRPr="002A0AF9" w:rsidRDefault="00D94187" w:rsidP="00AC597D">
      <w:pPr>
        <w:jc w:val="center"/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lang w:val="es-GT" w:eastAsia="es-ES_tradnl"/>
        </w:rPr>
        <w:lastRenderedPageBreak/>
        <w:t>ENTIDADES ADSCRITAS A LA VICEPRESIDENCIA DE LA REPÚBLICA</w:t>
      </w:r>
    </w:p>
    <w:p w:rsidR="00AC597D" w:rsidRPr="002A0AF9" w:rsidRDefault="00AC597D" w:rsidP="00AC597D">
      <w:pPr>
        <w:jc w:val="center"/>
        <w:rPr>
          <w:rFonts w:ascii="Montserrat" w:eastAsia="Times New Roman" w:hAnsi="Montserrat" w:cs="Arial"/>
          <w:b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las Adicciones y Tráfico Ilícito de Drogas (SECCATID)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color w:val="2F5496" w:themeColor="accent1" w:themeShade="BF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13130">
        <w:rPr>
          <w:rFonts w:ascii="Montserrat" w:eastAsia="Times New Roman" w:hAnsi="Montserrat" w:cs="Arial"/>
          <w:sz w:val="22"/>
          <w:lang w:val="es-GT" w:eastAsia="es-ES_tradnl"/>
        </w:rPr>
        <w:t>Fredy Filadelfo Anzueto Villatoro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2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Calle 1-00 Zona 10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PBX: (502) 2504-6000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Contra la Violencia Sexual, Explotación y Trata de Personas (SVET)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Secretaria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Licda. </w:t>
      </w:r>
      <w:r w:rsidR="00E12EC8" w:rsidRPr="002A0AF9">
        <w:rPr>
          <w:rFonts w:ascii="Montserrat" w:eastAsia="Times New Roman" w:hAnsi="Montserrat" w:cs="Arial"/>
          <w:sz w:val="22"/>
          <w:lang w:val="es-GT" w:eastAsia="es-ES_tradnl"/>
        </w:rPr>
        <w:t>Sandy Guadalupe Recinos Acevedo</w:t>
      </w:r>
      <w:r w:rsidR="00862244">
        <w:rPr>
          <w:rFonts w:ascii="Montserrat" w:eastAsia="Times New Roman" w:hAnsi="Montserrat" w:cs="Arial"/>
          <w:sz w:val="22"/>
          <w:lang w:val="es-GT" w:eastAsia="es-ES_tradnl"/>
        </w:rPr>
        <w:t xml:space="preserve"> de Cabrera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4ta. Calle 5-51 zona 1. Guatemala, Ciudad de Guatemala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TELEFAX. (502) 2504-8888</w:t>
      </w:r>
    </w:p>
    <w:p w:rsidR="00A4447A" w:rsidRPr="002A0AF9" w:rsidRDefault="00A4447A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Secretaría Nacional de Administración de Bienes de Extinción de Dominio (SENABED) </w:t>
      </w:r>
    </w:p>
    <w:p w:rsidR="00AC597D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Secretari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a</w:t>
      </w: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Lic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da</w:t>
      </w:r>
      <w:r w:rsidR="00E74248">
        <w:rPr>
          <w:rFonts w:ascii="Montserrat" w:eastAsia="Times New Roman" w:hAnsi="Montserrat" w:cs="Arial"/>
          <w:sz w:val="22"/>
          <w:lang w:val="es-GT" w:eastAsia="es-ES_tradnl"/>
        </w:rPr>
        <w:t xml:space="preserve">. </w:t>
      </w:r>
      <w:r w:rsidR="006A0D94">
        <w:rPr>
          <w:rFonts w:ascii="Montserrat" w:eastAsia="Times New Roman" w:hAnsi="Montserrat" w:cs="Arial"/>
          <w:sz w:val="22"/>
          <w:lang w:val="es-GT" w:eastAsia="es-ES_tradnl"/>
        </w:rPr>
        <w:t>Angela Marina Figueroa Molina</w:t>
      </w:r>
    </w:p>
    <w:p w:rsid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Edificio Plaza La República, Diagonal 6 10-26 Zona 10. Guatemala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2495-0600 </w:t>
      </w:r>
      <w:bookmarkStart w:id="0" w:name="_GoBack"/>
      <w:bookmarkEnd w:id="0"/>
    </w:p>
    <w:p w:rsidR="00AC597D" w:rsidRPr="002A0AF9" w:rsidRDefault="00AC597D" w:rsidP="002A0AF9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C597D" w:rsidRPr="002A0AF9" w:rsidRDefault="00D94187" w:rsidP="002A0AF9">
      <w:pPr>
        <w:ind w:left="360"/>
        <w:rPr>
          <w:rFonts w:ascii="Montserrat" w:eastAsia="Times New Roman" w:hAnsi="Montserrat" w:cs="Times New Roman"/>
          <w:b/>
          <w:color w:val="1F3864" w:themeColor="accent1" w:themeShade="80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 xml:space="preserve">Comisión Trasnacional del Plan Trifinio </w:t>
      </w:r>
      <w:r w:rsidR="00AC597D"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–</w:t>
      </w: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Guatemala</w:t>
      </w:r>
    </w:p>
    <w:p w:rsidR="00AC597D" w:rsidRPr="002A0AF9" w:rsidRDefault="00A4447A" w:rsidP="001B0C52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B0D84">
        <w:rPr>
          <w:rFonts w:ascii="Montserrat" w:eastAsia="Times New Roman" w:hAnsi="Montserrat" w:cs="Arial"/>
          <w:sz w:val="22"/>
          <w:lang w:val="es-GT" w:eastAsia="es-ES_tradnl"/>
        </w:rPr>
        <w:t>Lic</w:t>
      </w:r>
      <w:r w:rsidR="003D0A8F">
        <w:rPr>
          <w:rFonts w:ascii="Montserrat" w:eastAsia="Times New Roman" w:hAnsi="Montserrat" w:cs="Arial"/>
          <w:sz w:val="22"/>
          <w:lang w:val="es-GT" w:eastAsia="es-ES_tradnl"/>
        </w:rPr>
        <w:t xml:space="preserve">. </w:t>
      </w:r>
      <w:r w:rsidR="00330024">
        <w:rPr>
          <w:rFonts w:ascii="Montserrat" w:eastAsia="Times New Roman" w:hAnsi="Montserrat" w:cs="Arial"/>
          <w:sz w:val="22"/>
          <w:lang w:val="es-GT" w:eastAsia="es-ES_tradnl"/>
        </w:rPr>
        <w:t xml:space="preserve">Guillermo </w:t>
      </w:r>
      <w:r w:rsidR="001B0C52">
        <w:rPr>
          <w:rFonts w:ascii="Montserrat" w:eastAsia="Times New Roman" w:hAnsi="Montserrat" w:cs="Arial"/>
          <w:sz w:val="22"/>
          <w:lang w:val="es-GT" w:eastAsia="es-ES_tradnl"/>
        </w:rPr>
        <w:t xml:space="preserve">David </w:t>
      </w:r>
      <w:r w:rsidR="00330024">
        <w:rPr>
          <w:rFonts w:ascii="Montserrat" w:eastAsia="Times New Roman" w:hAnsi="Montserrat" w:cs="Arial"/>
          <w:sz w:val="22"/>
          <w:lang w:val="es-GT" w:eastAsia="es-ES_tradnl"/>
        </w:rPr>
        <w:t>Díaz Hernandez</w:t>
      </w:r>
      <w:r w:rsidR="007078F3">
        <w:rPr>
          <w:rFonts w:ascii="Montserrat" w:eastAsia="Times New Roman" w:hAnsi="Montserrat" w:cs="Arial"/>
          <w:sz w:val="22"/>
          <w:lang w:val="es-GT" w:eastAsia="es-ES_tradnl"/>
        </w:rPr>
        <w:t>.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4447A" w:rsidRPr="002A0AF9" w:rsidRDefault="00AC597D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870FED">
        <w:rPr>
          <w:rFonts w:ascii="Montserrat" w:eastAsia="Times New Roman" w:hAnsi="Montserrat" w:cs="Arial"/>
          <w:sz w:val="22"/>
          <w:lang w:val="es-GT" w:eastAsia="es-ES_tradnl"/>
        </w:rPr>
        <w:t>Avenida La Reforma 6-64 Zona 9, Edificio Plaza Corporativa, Torre I octavo nivel, Oficina 802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C597D" w:rsidRPr="002A0AF9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TELEFAX. (502) 2251-3622 </w:t>
      </w:r>
    </w:p>
    <w:p w:rsidR="00AC597D" w:rsidRPr="002A0AF9" w:rsidRDefault="00AC597D" w:rsidP="002A0AF9">
      <w:pPr>
        <w:pStyle w:val="Prrafodelista"/>
        <w:rPr>
          <w:rFonts w:ascii="Montserrat" w:eastAsia="Times New Roman" w:hAnsi="Montserrat" w:cs="Arial"/>
          <w:sz w:val="22"/>
          <w:lang w:val="es-GT" w:eastAsia="es-ES_tradnl"/>
        </w:rPr>
      </w:pPr>
    </w:p>
    <w:p w:rsidR="00AC597D" w:rsidRPr="002A0AF9" w:rsidRDefault="005A42EB" w:rsidP="002A0AF9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Secretaria Nacional de Ciencia y Tecnología (SENACYT)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 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Secretario </w:t>
      </w:r>
      <w:r w:rsidR="003D0A8F">
        <w:rPr>
          <w:rFonts w:ascii="Montserrat" w:eastAsia="Times New Roman" w:hAnsi="Montserrat" w:cs="Arial"/>
          <w:sz w:val="22"/>
          <w:lang w:val="es-GT" w:eastAsia="es-ES_tradnl"/>
        </w:rPr>
        <w:t>Licda. Ana Judith Chan Orantes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Dirección: 3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ª. Avenida 13-28, Zona 1 </w:t>
      </w:r>
      <w:r w:rsidR="002A0AF9">
        <w:rPr>
          <w:rFonts w:ascii="Montserrat" w:eastAsia="Times New Roman" w:hAnsi="Montserrat" w:cs="Arial"/>
          <w:sz w:val="22"/>
          <w:lang w:val="es-GT" w:eastAsia="es-ES_tradnl"/>
        </w:rPr>
        <w:t xml:space="preserve">-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>Guatemala</w:t>
      </w:r>
    </w:p>
    <w:p w:rsidR="00AC597D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PBX. (502) 2317-2618 </w:t>
      </w:r>
    </w:p>
    <w:p w:rsidR="0073444F" w:rsidRDefault="0073444F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73444F" w:rsidRPr="002A0AF9" w:rsidRDefault="0073444F" w:rsidP="002A0AF9">
      <w:pPr>
        <w:ind w:left="1080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C597D" w:rsidRPr="002A0AF9" w:rsidRDefault="00AC597D" w:rsidP="002A0AF9">
      <w:pPr>
        <w:pStyle w:val="Prrafodelista"/>
        <w:rPr>
          <w:rFonts w:ascii="Montserrat" w:eastAsia="Times New Roman" w:hAnsi="Montserrat" w:cs="Times New Roman"/>
          <w:sz w:val="22"/>
          <w:lang w:val="es-GT" w:eastAsia="es-ES_tradnl"/>
        </w:rPr>
      </w:pPr>
    </w:p>
    <w:p w:rsidR="00A4447A" w:rsidRPr="002A0AF9" w:rsidRDefault="00D94187" w:rsidP="002A0AF9">
      <w:pPr>
        <w:ind w:left="360"/>
        <w:rPr>
          <w:rFonts w:ascii="Montserrat" w:eastAsia="Times New Roman" w:hAnsi="Montserrat" w:cs="Times New Roman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b/>
          <w:color w:val="1F3864" w:themeColor="accent1" w:themeShade="80"/>
          <w:sz w:val="22"/>
          <w:lang w:val="es-GT" w:eastAsia="es-ES_tradnl"/>
        </w:rPr>
        <w:t>Dirección Ejecutiva de la Autoridad para el Manejo Sustentable de la Cuenca del Lago De Atitlán y su Entorno (AMSCLAE)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Secretaria </w:t>
      </w:r>
      <w:r w:rsidR="00313130">
        <w:rPr>
          <w:rFonts w:ascii="Montserrat" w:eastAsia="Times New Roman" w:hAnsi="Montserrat" w:cs="Arial"/>
          <w:sz w:val="22"/>
          <w:lang w:val="es-GT" w:eastAsia="es-ES_tradnl"/>
        </w:rPr>
        <w:t>Ing. Pedro Guillermo Toc Cobox</w:t>
      </w:r>
    </w:p>
    <w:p w:rsidR="00A4447A" w:rsidRPr="002A0AF9" w:rsidRDefault="00A4447A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Dirección: </w:t>
      </w:r>
      <w:r w:rsidR="00D94187" w:rsidRPr="002A0AF9">
        <w:rPr>
          <w:rFonts w:ascii="Montserrat" w:eastAsia="Times New Roman" w:hAnsi="Montserrat" w:cs="Arial"/>
          <w:sz w:val="22"/>
          <w:lang w:val="es-GT" w:eastAsia="es-ES_tradnl"/>
        </w:rPr>
        <w:t xml:space="preserve">12 Calle 7-49 Zona 2, Barrio San Bartolo, Sololá </w:t>
      </w:r>
    </w:p>
    <w:p w:rsidR="00E5651D" w:rsidRDefault="00D94187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  <w:r w:rsidRPr="002A0AF9">
        <w:rPr>
          <w:rFonts w:ascii="Montserrat" w:eastAsia="Times New Roman" w:hAnsi="Montserrat" w:cs="Arial"/>
          <w:sz w:val="22"/>
          <w:lang w:val="es-GT" w:eastAsia="es-ES_tradnl"/>
        </w:rPr>
        <w:t>Tel: (502) 7762 -1184</w:t>
      </w:r>
    </w:p>
    <w:p w:rsidR="004E211E" w:rsidRDefault="004E211E" w:rsidP="002A0AF9">
      <w:pPr>
        <w:ind w:left="1080"/>
        <w:rPr>
          <w:rFonts w:ascii="Montserrat" w:eastAsia="Times New Roman" w:hAnsi="Montserrat" w:cs="Arial"/>
          <w:sz w:val="22"/>
          <w:lang w:val="es-GT" w:eastAsia="es-ES_tradnl"/>
        </w:rPr>
      </w:pPr>
    </w:p>
    <w:sectPr w:rsidR="004E211E" w:rsidSect="00500E38">
      <w:headerReference w:type="default" r:id="rId8"/>
      <w:footerReference w:type="default" r:id="rId9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533" w:rsidRDefault="00D81533" w:rsidP="005B1EDE">
      <w:r>
        <w:separator/>
      </w:r>
    </w:p>
  </w:endnote>
  <w:endnote w:type="continuationSeparator" w:id="0">
    <w:p w:rsidR="00D81533" w:rsidRDefault="00D8153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0" name="Imagen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1" name="Imagen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533" w:rsidRDefault="00D81533" w:rsidP="005B1EDE">
      <w:r>
        <w:separator/>
      </w:r>
    </w:p>
  </w:footnote>
  <w:footnote w:type="continuationSeparator" w:id="0">
    <w:p w:rsidR="00D81533" w:rsidRDefault="00D8153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4625"/>
    <w:multiLevelType w:val="hybridMultilevel"/>
    <w:tmpl w:val="B1B623B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C0945"/>
    <w:multiLevelType w:val="hybridMultilevel"/>
    <w:tmpl w:val="910C252A"/>
    <w:lvl w:ilvl="0" w:tplc="100A000F">
      <w:start w:val="1"/>
      <w:numFmt w:val="decimal"/>
      <w:lvlText w:val="%1."/>
      <w:lvlJc w:val="left"/>
      <w:pPr>
        <w:ind w:left="1060" w:hanging="360"/>
      </w:pPr>
    </w:lvl>
    <w:lvl w:ilvl="1" w:tplc="100A0019" w:tentative="1">
      <w:start w:val="1"/>
      <w:numFmt w:val="lowerLetter"/>
      <w:lvlText w:val="%2."/>
      <w:lvlJc w:val="left"/>
      <w:pPr>
        <w:ind w:left="1780" w:hanging="360"/>
      </w:pPr>
    </w:lvl>
    <w:lvl w:ilvl="2" w:tplc="100A001B" w:tentative="1">
      <w:start w:val="1"/>
      <w:numFmt w:val="lowerRoman"/>
      <w:lvlText w:val="%3."/>
      <w:lvlJc w:val="right"/>
      <w:pPr>
        <w:ind w:left="2500" w:hanging="180"/>
      </w:pPr>
    </w:lvl>
    <w:lvl w:ilvl="3" w:tplc="100A000F" w:tentative="1">
      <w:start w:val="1"/>
      <w:numFmt w:val="decimal"/>
      <w:lvlText w:val="%4."/>
      <w:lvlJc w:val="left"/>
      <w:pPr>
        <w:ind w:left="3220" w:hanging="360"/>
      </w:pPr>
    </w:lvl>
    <w:lvl w:ilvl="4" w:tplc="100A0019" w:tentative="1">
      <w:start w:val="1"/>
      <w:numFmt w:val="lowerLetter"/>
      <w:lvlText w:val="%5."/>
      <w:lvlJc w:val="left"/>
      <w:pPr>
        <w:ind w:left="3940" w:hanging="360"/>
      </w:pPr>
    </w:lvl>
    <w:lvl w:ilvl="5" w:tplc="100A001B" w:tentative="1">
      <w:start w:val="1"/>
      <w:numFmt w:val="lowerRoman"/>
      <w:lvlText w:val="%6."/>
      <w:lvlJc w:val="right"/>
      <w:pPr>
        <w:ind w:left="4660" w:hanging="180"/>
      </w:pPr>
    </w:lvl>
    <w:lvl w:ilvl="6" w:tplc="100A000F" w:tentative="1">
      <w:start w:val="1"/>
      <w:numFmt w:val="decimal"/>
      <w:lvlText w:val="%7."/>
      <w:lvlJc w:val="left"/>
      <w:pPr>
        <w:ind w:left="5380" w:hanging="360"/>
      </w:pPr>
    </w:lvl>
    <w:lvl w:ilvl="7" w:tplc="100A0019" w:tentative="1">
      <w:start w:val="1"/>
      <w:numFmt w:val="lowerLetter"/>
      <w:lvlText w:val="%8."/>
      <w:lvlJc w:val="left"/>
      <w:pPr>
        <w:ind w:left="6100" w:hanging="360"/>
      </w:pPr>
    </w:lvl>
    <w:lvl w:ilvl="8" w:tplc="10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F85777F"/>
    <w:multiLevelType w:val="hybridMultilevel"/>
    <w:tmpl w:val="4AAAAC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2238C"/>
    <w:rsid w:val="00104897"/>
    <w:rsid w:val="00137CFB"/>
    <w:rsid w:val="00140716"/>
    <w:rsid w:val="00185601"/>
    <w:rsid w:val="001A2EBB"/>
    <w:rsid w:val="001B0C52"/>
    <w:rsid w:val="001B4AF4"/>
    <w:rsid w:val="001C6F4B"/>
    <w:rsid w:val="001D4B1E"/>
    <w:rsid w:val="00233496"/>
    <w:rsid w:val="00243989"/>
    <w:rsid w:val="00253BCE"/>
    <w:rsid w:val="002A0AF9"/>
    <w:rsid w:val="002E3D46"/>
    <w:rsid w:val="002F4E2F"/>
    <w:rsid w:val="003056AB"/>
    <w:rsid w:val="00313130"/>
    <w:rsid w:val="00330024"/>
    <w:rsid w:val="00397DEA"/>
    <w:rsid w:val="003A13C3"/>
    <w:rsid w:val="003B0D84"/>
    <w:rsid w:val="003D0A8F"/>
    <w:rsid w:val="003F3ACF"/>
    <w:rsid w:val="00403FF7"/>
    <w:rsid w:val="0041237A"/>
    <w:rsid w:val="004238B8"/>
    <w:rsid w:val="00460361"/>
    <w:rsid w:val="004B1773"/>
    <w:rsid w:val="004C5A6F"/>
    <w:rsid w:val="004E211E"/>
    <w:rsid w:val="0050035A"/>
    <w:rsid w:val="00500E38"/>
    <w:rsid w:val="00506FDC"/>
    <w:rsid w:val="00515BC8"/>
    <w:rsid w:val="005179A0"/>
    <w:rsid w:val="005232ED"/>
    <w:rsid w:val="00531853"/>
    <w:rsid w:val="005652E0"/>
    <w:rsid w:val="00567E23"/>
    <w:rsid w:val="0057014C"/>
    <w:rsid w:val="005958B0"/>
    <w:rsid w:val="005A0F84"/>
    <w:rsid w:val="005A1FA0"/>
    <w:rsid w:val="005A42EB"/>
    <w:rsid w:val="005B1EDE"/>
    <w:rsid w:val="005F7E69"/>
    <w:rsid w:val="00645E92"/>
    <w:rsid w:val="00661A3A"/>
    <w:rsid w:val="00681055"/>
    <w:rsid w:val="00682C56"/>
    <w:rsid w:val="0069721B"/>
    <w:rsid w:val="006A0D94"/>
    <w:rsid w:val="006D5AF7"/>
    <w:rsid w:val="006F46A3"/>
    <w:rsid w:val="007078F3"/>
    <w:rsid w:val="0073444F"/>
    <w:rsid w:val="00740D0B"/>
    <w:rsid w:val="007702A3"/>
    <w:rsid w:val="007719E4"/>
    <w:rsid w:val="007D2341"/>
    <w:rsid w:val="007D3F3E"/>
    <w:rsid w:val="007E2E53"/>
    <w:rsid w:val="007E4B66"/>
    <w:rsid w:val="007F0C21"/>
    <w:rsid w:val="00801937"/>
    <w:rsid w:val="00832BBB"/>
    <w:rsid w:val="00833E14"/>
    <w:rsid w:val="00862244"/>
    <w:rsid w:val="00870FED"/>
    <w:rsid w:val="00894C8C"/>
    <w:rsid w:val="0089769F"/>
    <w:rsid w:val="008C6862"/>
    <w:rsid w:val="008D0617"/>
    <w:rsid w:val="008E3198"/>
    <w:rsid w:val="009919DF"/>
    <w:rsid w:val="009E6FA0"/>
    <w:rsid w:val="00A4422D"/>
    <w:rsid w:val="00A4447A"/>
    <w:rsid w:val="00A52E53"/>
    <w:rsid w:val="00A65914"/>
    <w:rsid w:val="00AC597D"/>
    <w:rsid w:val="00AD7A29"/>
    <w:rsid w:val="00B02380"/>
    <w:rsid w:val="00B200B3"/>
    <w:rsid w:val="00B62741"/>
    <w:rsid w:val="00B94D68"/>
    <w:rsid w:val="00BC1972"/>
    <w:rsid w:val="00BF1867"/>
    <w:rsid w:val="00C3117D"/>
    <w:rsid w:val="00C86F70"/>
    <w:rsid w:val="00CB0FAA"/>
    <w:rsid w:val="00CB7799"/>
    <w:rsid w:val="00CD47B0"/>
    <w:rsid w:val="00D22FFA"/>
    <w:rsid w:val="00D75C29"/>
    <w:rsid w:val="00D81533"/>
    <w:rsid w:val="00D83F8F"/>
    <w:rsid w:val="00D85672"/>
    <w:rsid w:val="00D94187"/>
    <w:rsid w:val="00DA5A10"/>
    <w:rsid w:val="00DB408D"/>
    <w:rsid w:val="00DC0E2C"/>
    <w:rsid w:val="00DC1E99"/>
    <w:rsid w:val="00E00271"/>
    <w:rsid w:val="00E12EC8"/>
    <w:rsid w:val="00E5651D"/>
    <w:rsid w:val="00E67783"/>
    <w:rsid w:val="00E74248"/>
    <w:rsid w:val="00E75B21"/>
    <w:rsid w:val="00E801B8"/>
    <w:rsid w:val="00ED1CDA"/>
    <w:rsid w:val="00ED58F7"/>
    <w:rsid w:val="00EF3F85"/>
    <w:rsid w:val="00F56CCF"/>
    <w:rsid w:val="00F74D3C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8B661E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AC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F30E92-367A-4F20-B402-49D7C551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4</cp:revision>
  <cp:lastPrinted>2020-09-09T17:48:00Z</cp:lastPrinted>
  <dcterms:created xsi:type="dcterms:W3CDTF">2023-02-13T21:43:00Z</dcterms:created>
  <dcterms:modified xsi:type="dcterms:W3CDTF">2023-02-13T21:45:00Z</dcterms:modified>
</cp:coreProperties>
</file>